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BCB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3B6F83B6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401C9EAE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25005094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Основные характеристики инструментов капитала</w:t>
      </w:r>
    </w:p>
    <w:p w14:paraId="18200FAA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2105B4B1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+--------------+--------------------------------------+--------------------+------------+------------+--------------------------------------------------------------------------------------------------------------------------------------+</w:t>
      </w:r>
    </w:p>
    <w:p w14:paraId="72F1AC29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Сокращенное фирменное наименование   | Идентификационный  |   Право,   |   к иным   |                                                       Регулятивные условия                                                           |</w:t>
      </w:r>
    </w:p>
    <w:p w14:paraId="3C66942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/       |   эмитента инструмента капитала      | номер инструмента  |применимое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к|инструментам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14:paraId="464DC44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Наименование |                                      | капитала           |инструментам|    общей   |Уровень капитала, в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который|Уровень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капитала, в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который|Уровень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консолидации,|    Тип         |   Стоимость     |   Номинальная       |                                                                                                         |</w:t>
      </w:r>
    </w:p>
    <w:p w14:paraId="306FAF29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|характеристики|                                      |                    |  капитала  |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способности|инструмент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включается в    |инструмент включается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после|на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котором инструмент|  инструмента   |  инструмента,   |     стоимость       |                                                                                                                |</w:t>
      </w:r>
    </w:p>
    <w:p w14:paraId="479F89CB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инструмента  |                                      |                    |            |к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поглощению|течение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переходного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периода|окончания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переходного      |включается в капитал |                |   включенная    |    инструмента      |</w:t>
      </w:r>
    </w:p>
    <w:p w14:paraId="4E75F8AD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            |   убытков  |("Базель III")             |периода ("Базель III")     |                     |                |в расчет капитала|                     |</w:t>
      </w:r>
    </w:p>
    <w:p w14:paraId="1ED1ED1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            |            |                           |                           |                     |                |                 |                     |</w:t>
      </w:r>
    </w:p>
    <w:p w14:paraId="7680BEC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14:paraId="4423C012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1                    |          2         |     3      |     3a     |             4             |             5             |           6         |        7       |         8       |          9          |</w:t>
      </w:r>
    </w:p>
    <w:p w14:paraId="2A8C3C0C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14:paraId="60E8531A" w14:textId="225450E4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1|ООО "</w:t>
      </w:r>
      <w:r w:rsidR="00DE29EC">
        <w:rPr>
          <w:rFonts w:ascii="Courier New" w:hAnsi="Courier New" w:cs="Courier New"/>
          <w:sz w:val="10"/>
          <w:szCs w:val="10"/>
        </w:rPr>
        <w:t>Пихта Банк</w:t>
      </w:r>
      <w:r w:rsidRPr="00DC4CB8">
        <w:rPr>
          <w:rFonts w:ascii="Courier New" w:hAnsi="Courier New" w:cs="Courier New"/>
          <w:sz w:val="10"/>
          <w:szCs w:val="10"/>
        </w:rPr>
        <w:t xml:space="preserve">"            </w:t>
      </w:r>
      <w:r w:rsidR="003222DF">
        <w:rPr>
          <w:rFonts w:ascii="Courier New" w:hAnsi="Courier New" w:cs="Courier New"/>
          <w:sz w:val="10"/>
          <w:szCs w:val="10"/>
        </w:rPr>
        <w:t xml:space="preserve">          </w:t>
      </w:r>
      <w:r w:rsidRPr="00DC4CB8">
        <w:rPr>
          <w:rFonts w:ascii="Courier New" w:hAnsi="Courier New" w:cs="Courier New"/>
          <w:sz w:val="10"/>
          <w:szCs w:val="10"/>
        </w:rPr>
        <w:t xml:space="preserve">|неприменимо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|643(РОССИЙСК|            |базовый капитал            |базовый капитал            |на индивидуальной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осн|доли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 уставном |880000</w:t>
      </w:r>
      <w:r w:rsidR="00D929A8" w:rsidRPr="00D929A8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="00D929A8">
        <w:rPr>
          <w:rFonts w:ascii="Courier New" w:hAnsi="Courier New" w:cs="Courier New"/>
          <w:sz w:val="10"/>
          <w:szCs w:val="10"/>
        </w:rPr>
        <w:t>тыс.руб</w:t>
      </w:r>
      <w:proofErr w:type="spellEnd"/>
      <w:r w:rsidR="00D929A8">
        <w:rPr>
          <w:rFonts w:ascii="Courier New" w:hAnsi="Courier New" w:cs="Courier New"/>
          <w:sz w:val="10"/>
          <w:szCs w:val="10"/>
        </w:rPr>
        <w:t>.  |880000 тыс.руб.</w:t>
      </w:r>
      <w:r w:rsidRPr="00DC4CB8">
        <w:rPr>
          <w:rFonts w:ascii="Courier New" w:hAnsi="Courier New" w:cs="Courier New"/>
          <w:sz w:val="10"/>
          <w:szCs w:val="10"/>
        </w:rPr>
        <w:t xml:space="preserve">      |</w:t>
      </w:r>
    </w:p>
    <w:p w14:paraId="4BC8F5DE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|АЯ ФЕДЕРАЦИЯ|            |                           |          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ове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              |капитале        |                 |                     |</w:t>
      </w:r>
    </w:p>
    <w:p w14:paraId="778D354A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|)           |            |                           |                           |                     |                |                 |                     |</w:t>
      </w:r>
    </w:p>
    <w:p w14:paraId="7F424A72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14:paraId="2D2EED4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7C518BFD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14:paraId="5F7468E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14:paraId="0FE8AF99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Регулятивные условия                                         |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|</w:t>
      </w:r>
    </w:p>
    <w:p w14:paraId="6CA53FF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14:paraId="1A940090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Наименование | Классификация инструмента | Дата выпуска|  Наличие  |    Дата    | Наличие права | Первоначальная |   Последующая  |      Тип       |     Ставка     | Наличие условий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Обязательность|Наличие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условий, |</w:t>
      </w:r>
    </w:p>
    <w:p w14:paraId="3AE6445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|характеристики|    капитала для целей     |(привлечения,|   срока   |  погашения |   досрочного  |   дата (даты)  |   дата (даты)  |     ставки     |                |  прекращения    |    выплат    |предусматривающих|</w:t>
      </w:r>
    </w:p>
    <w:p w14:paraId="2ED8A801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инструмента  |   бухгалтерского учета    | размещения) |     по    |инструмента |    выкупа     |  возможной     |реализации права|       по       |                |выплат дивидендов| 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дивидедов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|увеличение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пла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  |</w:t>
      </w:r>
    </w:p>
    <w:p w14:paraId="48B20581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       | инструмента |инструменту|            |  (погашения)  |реализации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права|досрочного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вы-  |   инструменту  |                | по обыкновенным |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тежей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инстру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 |</w:t>
      </w:r>
    </w:p>
    <w:p w14:paraId="708A093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инструмента, | досрочного вы- |купа (погашения)|                |                |     акциям      |              |менту или иных   |</w:t>
      </w:r>
    </w:p>
    <w:p w14:paraId="7A907DA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|согласованного |купа (погашения)|  инструмента   |                |                |                 |              |стимулов к       |</w:t>
      </w:r>
    </w:p>
    <w:p w14:paraId="1430BD65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|с Банком России|  инструмента,  |                |                |                |                 |              |досрочному  вы-  |</w:t>
      </w:r>
    </w:p>
    <w:p w14:paraId="2CDE83D0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       |             |           |            |               |условия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реализа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-|                |                |                |                 |              |купу (погашению) |</w:t>
      </w:r>
    </w:p>
    <w:p w14:paraId="6F739E46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ции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такого права|                |                |                |                 |              |  инструмента    |</w:t>
      </w:r>
    </w:p>
    <w:p w14:paraId="418BC9DB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и сумма выкупа |                |                |                |                 |              |                 |</w:t>
      </w:r>
    </w:p>
    <w:p w14:paraId="2ACBBC17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(погашения)   |                |                |                |                 |              |                 |</w:t>
      </w:r>
    </w:p>
    <w:p w14:paraId="64FB768D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14:paraId="1DFFE1E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14:paraId="7C8A3D3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14:paraId="5E5B9988" w14:textId="50D4B459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1|обязательство, учитываемое |02.07.2010   |бессрочный |без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ограниче|неприменимо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|неприменимо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|неприменимо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|неприменимо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|неприменимо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|неприменимо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|полностью по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у|нет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          |</w:t>
      </w:r>
    </w:p>
    <w:p w14:paraId="7B1DF0E9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|по балансовой стоимости    |             |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ния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срока   |               |                |                |                |                |                 |смотрению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кред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                 |</w:t>
      </w:r>
    </w:p>
    <w:p w14:paraId="46B01A2C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итной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организа|                 |</w:t>
      </w:r>
    </w:p>
    <w:p w14:paraId="6CE8E9D1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ции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(головной |                 |</w:t>
      </w:r>
    </w:p>
    <w:p w14:paraId="3E5EDCFB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14:paraId="58504BF2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стника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банковс|                 |</w:t>
      </w:r>
    </w:p>
    <w:p w14:paraId="1B7E56B0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14:paraId="58D05442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14:paraId="4B3D5C44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0C0972F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14:paraId="618B8A60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+--------------+-------------------------------------------------------------------------------------------------------------------------------------------------------------------------------------------------------------+</w:t>
      </w:r>
    </w:p>
    <w:p w14:paraId="41486442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                                                                                    |</w:t>
      </w:r>
    </w:p>
    <w:p w14:paraId="113B1A96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14:paraId="2377A17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Наименование |      Характер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Конвертируемость|Условия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, при на- |  Полная либо    |   Ставка   |Обязательность |  Уровень капитала,  |  Сокращенное фирменное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Возможность|Условия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, при на- |  Полное   | Постоянное |</w:t>
      </w:r>
    </w:p>
    <w:p w14:paraId="3F7A3C2E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|характеристики|       выплат       |   инструмента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ступлении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которых|   частичная     |конвертации |  конвертации  |в инструмент которого|  наименование эмитента  | списания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ступлении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которых|    или    |    или     |</w:t>
      </w:r>
    </w:p>
    <w:p w14:paraId="4F63846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инструмента  |                    |                | осуществляется  |  конвертация    |            |               |   конвертируется    | инструмента, в который  |инструмента| осуществляется  | частичное | временное  |</w:t>
      </w:r>
    </w:p>
    <w:p w14:paraId="37DB5F80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|                |  конвертация    |                 |            |               |     инструмент      |конвертируется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инструмент|на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покрытие|    списание     | списание  |  списание  |</w:t>
      </w:r>
    </w:p>
    <w:p w14:paraId="75EB838B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|                |  инструмента    |                 |            |               |                     |                         | убытков   |  инструмента    |           |            |</w:t>
      </w:r>
    </w:p>
    <w:p w14:paraId="672267BA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14:paraId="2DF22AB4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14:paraId="3E5D16F4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14:paraId="14466722" w14:textId="1F6AAEB2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1|некумулятивный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неконвертируемый|неприменимо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</w:t>
      </w:r>
      <w:r w:rsidR="00816ACD">
        <w:rPr>
          <w:rFonts w:ascii="Courier New" w:hAnsi="Courier New" w:cs="Courier New"/>
          <w:sz w:val="10"/>
          <w:szCs w:val="10"/>
        </w:rPr>
        <w:t xml:space="preserve">  </w:t>
      </w:r>
      <w:r w:rsidRPr="00DC4CB8">
        <w:rPr>
          <w:rFonts w:ascii="Courier New" w:hAnsi="Courier New" w:cs="Courier New"/>
          <w:sz w:val="10"/>
          <w:szCs w:val="10"/>
        </w:rPr>
        <w:t xml:space="preserve">|неприменимо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|не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применимо|не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   |неприменимо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|неприменимо       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|неприменим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|неприменимо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>|неприменим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>|неприменимо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>|</w:t>
      </w:r>
    </w:p>
    <w:p w14:paraId="6BEF4AAE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|                |                 |                 |            |               |                     |                         |о          |                 |о          |            |</w:t>
      </w:r>
    </w:p>
    <w:p w14:paraId="5610F26A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14:paraId="6330BA6D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14:paraId="5F6CD358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14:paraId="6CF4B87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+--------------+---------------------------------------------------------------------------------------------------------------------------------------------------------------+</w:t>
      </w:r>
    </w:p>
    <w:p w14:paraId="0354F9AF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                                      |</w:t>
      </w:r>
    </w:p>
    <w:p w14:paraId="6DFB633F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+-----------------------+-----------------------+-------------------------+-----------------------------------+-------------------------------------------------+</w:t>
      </w:r>
    </w:p>
    <w:p w14:paraId="601B5C53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Наименование |        Механизм       |           Тип         | 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Субординированность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|    Соответствие требованиям       |             Описание несоответствий             |</w:t>
      </w:r>
    </w:p>
    <w:p w14:paraId="14B1D76A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|характеристики|     восстановления    |      субординации     |       инструмента       | Положения Банка России N 646-П и  |                                                 |</w:t>
      </w:r>
    </w:p>
    <w:p w14:paraId="05A1A945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инструмента  |                       |                       |                         | Положения Банка России N 509-П    |                                                 |</w:t>
      </w:r>
    </w:p>
    <w:p w14:paraId="25E7728B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|                       |                         |                                   |                                                 |</w:t>
      </w:r>
    </w:p>
    <w:p w14:paraId="3B21F3FF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|                       |                         |                                   |                                                 |</w:t>
      </w:r>
    </w:p>
    <w:p w14:paraId="209A4BA4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+--------------+-----------------------+-----------------------+-------------------------+-----------------------------------+-------------------------------------------------|</w:t>
      </w:r>
    </w:p>
    <w:p w14:paraId="5A54896D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34           |          34а          |           35            |               36                  |                         37                      |</w:t>
      </w:r>
    </w:p>
    <w:p w14:paraId="7828F2EF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+--------------+-----------------------+-----------------------+-------------------------+-----------------------------------+-------------------------------------------------|</w:t>
      </w:r>
    </w:p>
    <w:p w14:paraId="55FCC0F2" w14:textId="4B295DB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1|неприменимо    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|неприменимо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  |неприменимо     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|да                                 |неприменимо      </w:t>
      </w:r>
      <w:r w:rsidR="00816ACD">
        <w:rPr>
          <w:rFonts w:ascii="Courier New" w:hAnsi="Courier New" w:cs="Courier New"/>
          <w:sz w:val="10"/>
          <w:szCs w:val="10"/>
        </w:rPr>
        <w:t xml:space="preserve"> </w:t>
      </w:r>
      <w:r w:rsidRPr="00DC4CB8">
        <w:rPr>
          <w:rFonts w:ascii="Courier New" w:hAnsi="Courier New" w:cs="Courier New"/>
          <w:sz w:val="10"/>
          <w:szCs w:val="10"/>
        </w:rPr>
        <w:t xml:space="preserve">                               |</w:t>
      </w:r>
    </w:p>
    <w:p w14:paraId="5C82E326" w14:textId="77777777"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+--------------+-----------------------+-----------------------+-------------------------+-----------------------------------+-------------------------------------------------+</w:t>
      </w:r>
    </w:p>
    <w:sectPr w:rsidR="009E1BD1" w:rsidRPr="00DC4CB8" w:rsidSect="00AE022C">
      <w:headerReference w:type="default" r:id="rId6"/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DD51" w14:textId="77777777" w:rsidR="00585710" w:rsidRDefault="00585710" w:rsidP="00DC4CB8">
      <w:pPr>
        <w:spacing w:after="0" w:line="240" w:lineRule="auto"/>
      </w:pPr>
      <w:r>
        <w:separator/>
      </w:r>
    </w:p>
  </w:endnote>
  <w:endnote w:type="continuationSeparator" w:id="0">
    <w:p w14:paraId="404C8D67" w14:textId="77777777" w:rsidR="00585710" w:rsidRDefault="00585710" w:rsidP="00DC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A33A" w14:textId="77777777" w:rsidR="00585710" w:rsidRDefault="00585710" w:rsidP="00DC4CB8">
      <w:pPr>
        <w:spacing w:after="0" w:line="240" w:lineRule="auto"/>
      </w:pPr>
      <w:r>
        <w:separator/>
      </w:r>
    </w:p>
  </w:footnote>
  <w:footnote w:type="continuationSeparator" w:id="0">
    <w:p w14:paraId="53578D9F" w14:textId="77777777" w:rsidR="00585710" w:rsidRDefault="00585710" w:rsidP="00DC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B624" w14:textId="77777777" w:rsidR="00DC4CB8" w:rsidRDefault="00DC4CB8" w:rsidP="00DC4CB8">
    <w:pPr>
      <w:pStyle w:val="a5"/>
      <w:tabs>
        <w:tab w:val="clear" w:pos="4677"/>
        <w:tab w:val="center" w:pos="4820"/>
      </w:tabs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4D"/>
    <w:rsid w:val="003222DF"/>
    <w:rsid w:val="004F38BA"/>
    <w:rsid w:val="00585710"/>
    <w:rsid w:val="00764D63"/>
    <w:rsid w:val="0076614D"/>
    <w:rsid w:val="00816ACD"/>
    <w:rsid w:val="009E1BD1"/>
    <w:rsid w:val="00AE022C"/>
    <w:rsid w:val="00D929A8"/>
    <w:rsid w:val="00DC4CB8"/>
    <w:rsid w:val="00D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7DF9"/>
  <w15:docId w15:val="{0F475326-5866-4C51-8C19-925203C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35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350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B8"/>
  </w:style>
  <w:style w:type="paragraph" w:styleId="a7">
    <w:name w:val="footer"/>
    <w:basedOn w:val="a"/>
    <w:link w:val="a8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Financial Services Aktiengesellschaft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Semakova, Nadezhda</dc:creator>
  <cp:lastModifiedBy>Gunko, Ella</cp:lastModifiedBy>
  <cp:revision>3</cp:revision>
  <dcterms:created xsi:type="dcterms:W3CDTF">2025-04-29T15:00:00Z</dcterms:created>
  <dcterms:modified xsi:type="dcterms:W3CDTF">2025-04-29T15:02:00Z</dcterms:modified>
</cp:coreProperties>
</file>